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равила-программы-выплаты-и-налоги"/>
    <w:p>
      <w:pPr>
        <w:pStyle w:val="Heading1"/>
      </w:pPr>
      <w:r>
        <w:t xml:space="preserve">Правила программы, выплаты и налоги</w:t>
      </w:r>
    </w:p>
    <w:bookmarkStart w:id="20" w:name="кто-такой-партнёр"/>
    <w:p>
      <w:pPr>
        <w:pStyle w:val="Heading2"/>
      </w:pPr>
      <w:r>
        <w:t xml:space="preserve">Кто такой партнёр</w:t>
      </w:r>
    </w:p>
    <w:p>
      <w:pPr>
        <w:pStyle w:val="FirstParagraph"/>
      </w:pPr>
      <w:r>
        <w:t xml:space="preserve">Партнёр — независимый участник программы, который помогает заинтересованному человеку попасть на бесплатный профессиональный разбор. Он не является штатным сотрудником, юристом, представителем суда или арбитражного управляющего.</w:t>
      </w:r>
    </w:p>
    <w:bookmarkEnd w:id="20"/>
    <w:bookmarkStart w:id="21" w:name="когда-возникает-10-000"/>
    <w:p>
      <w:pPr>
        <w:pStyle w:val="Heading2"/>
      </w:pPr>
      <w:r>
        <w:t xml:space="preserve">Когда возникает 10 000 ₽</w:t>
      </w:r>
    </w:p>
    <w:p>
      <w:pPr>
        <w:pStyle w:val="Compact"/>
        <w:numPr>
          <w:ilvl w:val="0"/>
          <w:numId w:val="1001"/>
        </w:numPr>
      </w:pPr>
      <w:r>
        <w:t xml:space="preserve">Партнёр корректно зафиксирован как источник.</w:t>
      </w:r>
    </w:p>
    <w:p>
      <w:pPr>
        <w:pStyle w:val="Compact"/>
        <w:numPr>
          <w:ilvl w:val="0"/>
          <w:numId w:val="1001"/>
        </w:numPr>
      </w:pPr>
      <w:r>
        <w:t xml:space="preserve">Клиент дал согласие или сам оставил заявку.</w:t>
      </w:r>
    </w:p>
    <w:p>
      <w:pPr>
        <w:pStyle w:val="Compact"/>
        <w:numPr>
          <w:ilvl w:val="0"/>
          <w:numId w:val="1001"/>
        </w:numPr>
      </w:pPr>
      <w:r>
        <w:t xml:space="preserve">Клиент заключил договор.</w:t>
      </w:r>
    </w:p>
    <w:p>
      <w:pPr>
        <w:pStyle w:val="Compact"/>
        <w:numPr>
          <w:ilvl w:val="0"/>
          <w:numId w:val="1001"/>
        </w:numPr>
      </w:pPr>
      <w:r>
        <w:t xml:space="preserve">Клиент внёс первую оплату.</w:t>
      </w:r>
    </w:p>
    <w:p>
      <w:pPr>
        <w:pStyle w:val="Compact"/>
        <w:numPr>
          <w:ilvl w:val="0"/>
          <w:numId w:val="1001"/>
        </w:numPr>
      </w:pPr>
      <w:r>
        <w:t xml:space="preserve">Система/менеджер подтвердили событие.</w:t>
      </w:r>
    </w:p>
    <w:bookmarkEnd w:id="21"/>
    <w:bookmarkStart w:id="22" w:name="безопасные-статусы-для-партнёра"/>
    <w:p>
      <w:pPr>
        <w:pStyle w:val="Heading2"/>
      </w:pPr>
      <w:r>
        <w:t xml:space="preserve">Безопасные статусы для партнёра</w:t>
      </w:r>
    </w:p>
    <w:p>
      <w:pPr>
        <w:pStyle w:val="Compact"/>
        <w:numPr>
          <w:ilvl w:val="0"/>
          <w:numId w:val="1002"/>
        </w:numPr>
      </w:pPr>
      <w:r>
        <w:t xml:space="preserve">заявка принята;</w:t>
      </w:r>
    </w:p>
    <w:p>
      <w:pPr>
        <w:pStyle w:val="Compact"/>
        <w:numPr>
          <w:ilvl w:val="0"/>
          <w:numId w:val="1002"/>
        </w:numPr>
      </w:pPr>
      <w:r>
        <w:t xml:space="preserve">связываемся;</w:t>
      </w:r>
    </w:p>
    <w:p>
      <w:pPr>
        <w:pStyle w:val="Compact"/>
        <w:numPr>
          <w:ilvl w:val="0"/>
          <w:numId w:val="1002"/>
        </w:numPr>
      </w:pPr>
      <w:r>
        <w:t xml:space="preserve">связались;</w:t>
      </w:r>
    </w:p>
    <w:p>
      <w:pPr>
        <w:pStyle w:val="Compact"/>
        <w:numPr>
          <w:ilvl w:val="0"/>
          <w:numId w:val="1002"/>
        </w:numPr>
      </w:pPr>
      <w:r>
        <w:t xml:space="preserve">консультация;</w:t>
      </w:r>
    </w:p>
    <w:p>
      <w:pPr>
        <w:pStyle w:val="Compact"/>
        <w:numPr>
          <w:ilvl w:val="0"/>
          <w:numId w:val="1002"/>
        </w:numPr>
      </w:pPr>
      <w:r>
        <w:t xml:space="preserve">договор;</w:t>
      </w:r>
    </w:p>
    <w:p>
      <w:pPr>
        <w:pStyle w:val="Compact"/>
        <w:numPr>
          <w:ilvl w:val="0"/>
          <w:numId w:val="1002"/>
        </w:numPr>
      </w:pPr>
      <w:r>
        <w:t xml:space="preserve">первая оплата;</w:t>
      </w:r>
    </w:p>
    <w:p>
      <w:pPr>
        <w:pStyle w:val="Compact"/>
        <w:numPr>
          <w:ilvl w:val="0"/>
          <w:numId w:val="1002"/>
        </w:numPr>
      </w:pPr>
      <w:r>
        <w:t xml:space="preserve">10 000 ₽ начислено;</w:t>
      </w:r>
    </w:p>
    <w:p>
      <w:pPr>
        <w:pStyle w:val="Compact"/>
        <w:numPr>
          <w:ilvl w:val="0"/>
          <w:numId w:val="1002"/>
        </w:numPr>
      </w:pPr>
      <w:r>
        <w:t xml:space="preserve">выплата произведена.</w:t>
      </w:r>
    </w:p>
    <w:p>
      <w:pPr>
        <w:pStyle w:val="FirstParagraph"/>
      </w:pPr>
      <w:r>
        <w:t xml:space="preserve">Партнёру не показываются сумма долга, имущество, документы, подробная причина отказа и внутренние комментарии Bitrix24.</w:t>
      </w:r>
    </w:p>
    <w:bookmarkEnd w:id="22"/>
    <w:bookmarkStart w:id="23" w:name="дубли"/>
    <w:p>
      <w:pPr>
        <w:pStyle w:val="Heading2"/>
      </w:pPr>
      <w:r>
        <w:t xml:space="preserve">Дубли</w:t>
      </w:r>
    </w:p>
    <w:p>
      <w:pPr>
        <w:pStyle w:val="FirstParagraph"/>
      </w:pPr>
      <w:r>
        <w:t xml:space="preserve">По умолчанию закрепляется первый подтверждённый корректный источник. Если человек уже есть в системе, партнёру не раскрывают другого партнёра. Спор рассматривает Алёна по данным системы.</w:t>
      </w:r>
    </w:p>
    <w:bookmarkEnd w:id="23"/>
    <w:bookmarkStart w:id="27" w:name="налоговая-памятка"/>
    <w:p>
      <w:pPr>
        <w:pStyle w:val="Heading2"/>
      </w:pPr>
      <w:r>
        <w:t xml:space="preserve">Налоговая памятка</w:t>
      </w:r>
    </w:p>
    <w:bookmarkStart w:id="24" w:name="обычное-физическое-лицо"/>
    <w:p>
      <w:pPr>
        <w:pStyle w:val="Heading3"/>
      </w:pPr>
      <w:r>
        <w:t xml:space="preserve">Обычное физическое лицо</w:t>
      </w:r>
    </w:p>
    <w:p>
      <w:pPr>
        <w:pStyle w:val="FirstParagraph"/>
      </w:pPr>
      <w:r>
        <w:t xml:space="preserve">Если Заказчик и Исполнитель — физические лица, а плательщик не является налоговым агентом, получатель вознаграждения самостоятельно декларирует соответствующий доход и уплачивает НДФЛ в применимых случаях.</w:t>
      </w:r>
    </w:p>
    <w:bookmarkEnd w:id="24"/>
    <w:bookmarkStart w:id="25" w:name="самозанятый-нпд"/>
    <w:p>
      <w:pPr>
        <w:pStyle w:val="Heading3"/>
      </w:pPr>
      <w:r>
        <w:t xml:space="preserve">Самозанятый / НПД</w:t>
      </w:r>
    </w:p>
    <w:p>
      <w:pPr>
        <w:pStyle w:val="FirstParagraph"/>
      </w:pPr>
      <w:r>
        <w:t xml:space="preserve">При оказании услуг физическому лицу ставка НПД составляет 4%. Партнёр отражает доход в «Мой налог» и формирует чек на физическое лицо-заказчика.</w:t>
      </w:r>
    </w:p>
    <w:bookmarkEnd w:id="25"/>
    <w:bookmarkStart w:id="26" w:name="критическая-оговорка"/>
    <w:p>
      <w:pPr>
        <w:pStyle w:val="Heading3"/>
      </w:pPr>
      <w:r>
        <w:t xml:space="preserve">Критическая оговорка</w:t>
      </w:r>
    </w:p>
    <w:p>
      <w:pPr>
        <w:pStyle w:val="FirstParagraph"/>
      </w:pPr>
      <w:r>
        <w:t xml:space="preserve">Если Алёна фактически лишь переводит деньги компании/ИП либо действует как менеджер от имени бизнеса, нельзя маскировать реального заказчика договором «физик ↔ физик». В такой модели стороной договора должен стать реальный заказчик, а налоги/взносы нужно пересчитать.</w:t>
      </w:r>
    </w:p>
    <w:bookmarkEnd w:id="26"/>
    <w:bookmarkEnd w:id="27"/>
    <w:bookmarkStart w:id="28" w:name="на-какую-карту-платить"/>
    <w:p>
      <w:pPr>
        <w:pStyle w:val="Heading2"/>
      </w:pPr>
      <w:r>
        <w:t xml:space="preserve">На какую карту платить</w:t>
      </w:r>
    </w:p>
    <w:p>
      <w:pPr>
        <w:pStyle w:val="FirstParagraph"/>
      </w:pPr>
      <w:r>
        <w:t xml:space="preserve">Базово — на карту/счёт любого банка, принадлежащий Партнёру, или по СБП. Выплаты на чужие карты для массовой модели лучше не использовать.</w:t>
      </w:r>
    </w:p>
    <w:bookmarkEnd w:id="28"/>
    <w:bookmarkStart w:id="29" w:name="запрещено"/>
    <w:p>
      <w:pPr>
        <w:pStyle w:val="Heading2"/>
      </w:pPr>
      <w:r>
        <w:t xml:space="preserve">Запрещено</w:t>
      </w:r>
    </w:p>
    <w:p>
      <w:pPr>
        <w:pStyle w:val="Compact"/>
        <w:numPr>
          <w:ilvl w:val="0"/>
          <w:numId w:val="1003"/>
        </w:numPr>
      </w:pPr>
      <w:r>
        <w:t xml:space="preserve">передавать номер без согласия;</w:t>
      </w:r>
    </w:p>
    <w:p>
      <w:pPr>
        <w:pStyle w:val="Compact"/>
        <w:numPr>
          <w:ilvl w:val="0"/>
          <w:numId w:val="1003"/>
        </w:numPr>
      </w:pPr>
      <w:r>
        <w:t xml:space="preserve">покупать базы должников;</w:t>
      </w:r>
    </w:p>
    <w:p>
      <w:pPr>
        <w:pStyle w:val="Compact"/>
        <w:numPr>
          <w:ilvl w:val="0"/>
          <w:numId w:val="1003"/>
        </w:numPr>
      </w:pPr>
      <w:r>
        <w:t xml:space="preserve">использовать служебную клиентскую/кадровую CRM для БФЛ;</w:t>
      </w:r>
    </w:p>
    <w:p>
      <w:pPr>
        <w:pStyle w:val="Compact"/>
        <w:numPr>
          <w:ilvl w:val="0"/>
          <w:numId w:val="1003"/>
        </w:numPr>
      </w:pPr>
      <w:r>
        <w:t xml:space="preserve">массово писать незнакомым людям;</w:t>
      </w:r>
    </w:p>
    <w:p>
      <w:pPr>
        <w:pStyle w:val="Compact"/>
        <w:numPr>
          <w:ilvl w:val="0"/>
          <w:numId w:val="1003"/>
        </w:numPr>
      </w:pPr>
      <w:r>
        <w:t xml:space="preserve">обещать «спишем 100%»;</w:t>
      </w:r>
    </w:p>
    <w:p>
      <w:pPr>
        <w:pStyle w:val="Compact"/>
        <w:numPr>
          <w:ilvl w:val="0"/>
          <w:numId w:val="1003"/>
        </w:numPr>
      </w:pPr>
      <w:r>
        <w:t xml:space="preserve">обещать, что квартиру/машину точно сохранят;</w:t>
      </w:r>
    </w:p>
    <w:p>
      <w:pPr>
        <w:pStyle w:val="Compact"/>
        <w:numPr>
          <w:ilvl w:val="0"/>
          <w:numId w:val="1003"/>
        </w:numPr>
      </w:pPr>
      <w:r>
        <w:t xml:space="preserve">принимать деньги от клиента;</w:t>
      </w:r>
    </w:p>
    <w:p>
      <w:pPr>
        <w:pStyle w:val="Compact"/>
        <w:numPr>
          <w:ilvl w:val="0"/>
          <w:numId w:val="1003"/>
        </w:numPr>
      </w:pPr>
      <w:r>
        <w:t xml:space="preserve">собирать документы клиента;</w:t>
      </w:r>
    </w:p>
    <w:p>
      <w:pPr>
        <w:pStyle w:val="Compact"/>
        <w:numPr>
          <w:ilvl w:val="0"/>
          <w:numId w:val="1003"/>
        </w:numPr>
      </w:pPr>
      <w:r>
        <w:t xml:space="preserve">выдавать себя за юриста.</w:t>
      </w:r>
    </w:p>
    <w:bookmarkEnd w:id="29"/>
    <w:bookmarkStart w:id="30" w:name="реклама-бфл"/>
    <w:p>
      <w:pPr>
        <w:pStyle w:val="Heading2"/>
      </w:pPr>
      <w:r>
        <w:t xml:space="preserve">Реклама БФЛ</w:t>
      </w:r>
    </w:p>
    <w:p>
      <w:pPr>
        <w:pStyle w:val="FirstParagraph"/>
      </w:pPr>
      <w:r>
        <w:t xml:space="preserve">С 01.01.2026 для рекламы услуг по банкротству действуют специальные ограничения. Публичные статусы/баннеры нужно использовать только в утверждённой версии с обязательным предупреждением, если материал является рекламой.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2026-08-31T06:45:09Z</dcterms:created>
  <dcterms:modified xsi:type="dcterms:W3CDTF">2026-08-31T06:45:09Z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